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23AD" w14:textId="77777777" w:rsidR="000D08CA" w:rsidRPr="000D08CA" w:rsidRDefault="000D08CA" w:rsidP="000D08CA">
      <w:pPr>
        <w:shd w:val="clear" w:color="auto" w:fill="FFFFFF"/>
        <w:spacing w:before="100" w:beforeAutospacing="1" w:after="100" w:afterAutospacing="1" w:line="240" w:lineRule="auto"/>
        <w:outlineLvl w:val="1"/>
        <w:rPr>
          <w:rFonts w:ascii="Arial" w:eastAsia="Times New Roman" w:hAnsi="Arial" w:cs="Arial"/>
          <w:b/>
          <w:bCs/>
          <w:color w:val="000000"/>
          <w:sz w:val="30"/>
          <w:szCs w:val="30"/>
          <w:lang w:eastAsia="pl-PL"/>
        </w:rPr>
      </w:pPr>
      <w:r w:rsidRPr="000D08CA">
        <w:rPr>
          <w:rFonts w:ascii="Arial" w:eastAsia="Times New Roman" w:hAnsi="Arial" w:cs="Arial"/>
          <w:b/>
          <w:bCs/>
          <w:color w:val="000000"/>
          <w:sz w:val="30"/>
          <w:szCs w:val="30"/>
          <w:lang w:eastAsia="pl-PL"/>
        </w:rPr>
        <w:t>Deklaracja dostępności</w:t>
      </w:r>
    </w:p>
    <w:p w14:paraId="1F45845C" w14:textId="49C2FE3E"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Urząd Gminy Lubicz zobowiązuje się zapewnić dostępność swojego serwisu BIP zgodnie z ustawą z dnia 4 kwietnia 2019 r. o dostępności cyfrowej stron internetowych i aplikacji mobilnych podmiotów publicznych. Oświadczenie w sprawie dostępności ma zastosowanie do </w:t>
      </w:r>
      <w:hyperlink r:id="rId5" w:history="1">
        <w:r w:rsidRPr="000D08CA">
          <w:rPr>
            <w:rFonts w:ascii="Arial" w:eastAsia="Times New Roman" w:hAnsi="Arial" w:cs="Arial"/>
            <w:color w:val="9E0005"/>
            <w:sz w:val="27"/>
            <w:szCs w:val="27"/>
            <w:u w:val="single"/>
            <w:lang w:eastAsia="pl-PL"/>
          </w:rPr>
          <w:t>serwisu BIP G</w:t>
        </w:r>
        <w:r w:rsidR="00D36AFF">
          <w:rPr>
            <w:rFonts w:ascii="Arial" w:eastAsia="Times New Roman" w:hAnsi="Arial" w:cs="Arial"/>
            <w:color w:val="9E0005"/>
            <w:sz w:val="27"/>
            <w:szCs w:val="27"/>
            <w:u w:val="single"/>
            <w:lang w:eastAsia="pl-PL"/>
          </w:rPr>
          <w:t>minnego</w:t>
        </w:r>
      </w:hyperlink>
      <w:r w:rsidR="00D36AFF">
        <w:rPr>
          <w:rFonts w:ascii="Arial" w:eastAsia="Times New Roman" w:hAnsi="Arial" w:cs="Arial"/>
          <w:color w:val="9E0005"/>
          <w:sz w:val="27"/>
          <w:szCs w:val="27"/>
          <w:u w:val="single"/>
          <w:lang w:eastAsia="pl-PL"/>
        </w:rPr>
        <w:t xml:space="preserve"> Ośrodka Pomocy </w:t>
      </w:r>
      <w:r w:rsidR="0078585A">
        <w:rPr>
          <w:rFonts w:ascii="Arial" w:eastAsia="Times New Roman" w:hAnsi="Arial" w:cs="Arial"/>
          <w:color w:val="9E0005"/>
          <w:sz w:val="27"/>
          <w:szCs w:val="27"/>
          <w:u w:val="single"/>
          <w:lang w:eastAsia="pl-PL"/>
        </w:rPr>
        <w:t xml:space="preserve">Społecznej </w:t>
      </w:r>
      <w:r w:rsidR="00D36AFF">
        <w:rPr>
          <w:rFonts w:ascii="Arial" w:eastAsia="Times New Roman" w:hAnsi="Arial" w:cs="Arial"/>
          <w:color w:val="9E0005"/>
          <w:sz w:val="27"/>
          <w:szCs w:val="27"/>
          <w:u w:val="single"/>
          <w:lang w:eastAsia="pl-PL"/>
        </w:rPr>
        <w:t>w Lubiczu</w:t>
      </w:r>
      <w:r w:rsidRPr="000D08CA">
        <w:rPr>
          <w:rFonts w:ascii="Arial" w:eastAsia="Times New Roman" w:hAnsi="Arial" w:cs="Arial"/>
          <w:color w:val="000000"/>
          <w:sz w:val="27"/>
          <w:szCs w:val="27"/>
          <w:lang w:eastAsia="pl-PL"/>
        </w:rPr>
        <w:t>.</w:t>
      </w:r>
    </w:p>
    <w:p w14:paraId="48F36F19"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Strona internetowa jest zgodna z ustawą z dnia 4 kwietnia 2019 r. o dostępności cyfrowej stron internetowych i aplikacji mobilnych podmiotów publicznych.</w:t>
      </w:r>
    </w:p>
    <w:p w14:paraId="3DF9FC55"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Deklarację sporządzono na podstawie samooceny przeprowadzonej przez podmiot publiczny.</w:t>
      </w:r>
    </w:p>
    <w:p w14:paraId="3A521216"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b/>
          <w:bCs/>
          <w:color w:val="000000"/>
          <w:sz w:val="27"/>
          <w:szCs w:val="27"/>
          <w:lang w:eastAsia="pl-PL"/>
        </w:rPr>
        <w:t>Skróty klawiaturowe</w:t>
      </w:r>
    </w:p>
    <w:p w14:paraId="798C9B39"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Na niniejszej stronie internetowej dostępne są następujące skróty klawiszowe umożliwiające nawigację bez potrzeby używania urządzeń wskazujących (np. myszki):</w:t>
      </w:r>
    </w:p>
    <w:p w14:paraId="222BD39E"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0 - wywołanie podstrony zawierającej niniejszą "Deklarację dostępności",</w:t>
      </w:r>
    </w:p>
    <w:p w14:paraId="06621C42"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1 - wywołanie strony głównej,</w:t>
      </w:r>
    </w:p>
    <w:p w14:paraId="7CE2CADE"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2 - przejście do menu głównego,</w:t>
      </w:r>
    </w:p>
    <w:p w14:paraId="238D9E03"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3 - przejście do treści strony,</w:t>
      </w:r>
    </w:p>
    <w:p w14:paraId="0AF39A35"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4 - wywołanie podstrony z mapą strony,</w:t>
      </w:r>
    </w:p>
    <w:p w14:paraId="3E6F90D0"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5 - przejście do wyszukiwarki,</w:t>
      </w:r>
    </w:p>
    <w:p w14:paraId="59133FD2"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8 - wywołanie strony w wersji graficznej (tylko w wersji o wysokim poziomie kontrastu),</w:t>
      </w:r>
    </w:p>
    <w:p w14:paraId="52844756" w14:textId="77777777" w:rsidR="000D08CA" w:rsidRPr="000D08CA" w:rsidRDefault="000D08CA" w:rsidP="000D08C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9 - wywołanie podstrony kontaktowej.</w:t>
      </w:r>
    </w:p>
    <w:p w14:paraId="37B1853C"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Sposób użycia klawiszy dostępu jest zależny od posiadanego systemu operacyjnego:</w:t>
      </w:r>
    </w:p>
    <w:p w14:paraId="30512437" w14:textId="77777777" w:rsidR="000D08CA" w:rsidRPr="000D08CA" w:rsidRDefault="000D08CA" w:rsidP="000D08CA">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Windows</w:t>
      </w:r>
    </w:p>
    <w:p w14:paraId="33E72E85"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Mozilla Firefox: Shift + Alt + litera/cyfra</w:t>
      </w:r>
    </w:p>
    <w:p w14:paraId="46F0644E"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Opera: Alt + litera/cyfra (wymagany stosowny dodatek np. Accesskey Shortcuts)</w:t>
      </w:r>
    </w:p>
    <w:p w14:paraId="0F44E2D3"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Edge / Internet Explorer: Alt + litera/cyfra a następnie Enter</w:t>
      </w:r>
    </w:p>
    <w:p w14:paraId="60BE6E00"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Google Chrome/Brave: Alt + litera/cyfra</w:t>
      </w:r>
    </w:p>
    <w:p w14:paraId="048EDC6E" w14:textId="77777777" w:rsidR="000D08CA" w:rsidRPr="000D08CA" w:rsidRDefault="000D08CA" w:rsidP="000D08CA">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lastRenderedPageBreak/>
        <w:t>Linux</w:t>
      </w:r>
    </w:p>
    <w:p w14:paraId="77AB270C"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Mozilla Firefox: Shift + Alt + litera/cyfra</w:t>
      </w:r>
    </w:p>
    <w:p w14:paraId="7C05F54F"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Opera: Alt + litera/cyfra (wymagany stosowny dodatek np. Accesskey Shortcuts)</w:t>
      </w:r>
    </w:p>
    <w:p w14:paraId="0BA0E4F1"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Google Chrome/Brave: Alt + litera/cyfra</w:t>
      </w:r>
    </w:p>
    <w:p w14:paraId="367BB42A" w14:textId="77777777" w:rsidR="000D08CA" w:rsidRPr="000D08CA" w:rsidRDefault="000D08CA" w:rsidP="000D08CA">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macOS</w:t>
      </w:r>
    </w:p>
    <w:p w14:paraId="42BB7517"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Safari: Ctrl + litera/cyfra</w:t>
      </w:r>
    </w:p>
    <w:p w14:paraId="2C87D849"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Mozilla Firefox: Shift + Ctrl + litera/cyfra</w:t>
      </w:r>
    </w:p>
    <w:p w14:paraId="728135B1"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Opera: Ctrl + Alt + litera/cyfra (wymagany stosowny dodatek np. Accesskey Shortcuts)</w:t>
      </w:r>
    </w:p>
    <w:p w14:paraId="61F5CAF3"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Internet Explorer: Alt + litera/cyfra a następnie Enter</w:t>
      </w:r>
    </w:p>
    <w:p w14:paraId="2D77ABAA" w14:textId="77777777" w:rsidR="000D08CA" w:rsidRPr="000D08CA" w:rsidRDefault="000D08CA" w:rsidP="000D08CA">
      <w:pPr>
        <w:numPr>
          <w:ilvl w:val="1"/>
          <w:numId w:val="2"/>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Google Chrome/Brave: Ctrl + Option + litera/cyfra</w:t>
      </w:r>
    </w:p>
    <w:p w14:paraId="63015500" w14:textId="77777777" w:rsidR="000D08CA" w:rsidRPr="000D08CA" w:rsidRDefault="000D08CA" w:rsidP="000D08CA">
      <w:pPr>
        <w:shd w:val="clear" w:color="auto" w:fill="FFFFFF"/>
        <w:spacing w:before="100" w:beforeAutospacing="1" w:after="100" w:afterAutospacing="1" w:line="240" w:lineRule="auto"/>
        <w:outlineLvl w:val="1"/>
        <w:rPr>
          <w:rFonts w:ascii="Arial" w:eastAsia="Times New Roman" w:hAnsi="Arial" w:cs="Arial"/>
          <w:b/>
          <w:bCs/>
          <w:color w:val="000000"/>
          <w:sz w:val="30"/>
          <w:szCs w:val="30"/>
          <w:lang w:eastAsia="pl-PL"/>
        </w:rPr>
      </w:pPr>
      <w:r w:rsidRPr="000D08CA">
        <w:rPr>
          <w:rFonts w:ascii="Arial" w:eastAsia="Times New Roman" w:hAnsi="Arial" w:cs="Arial"/>
          <w:b/>
          <w:bCs/>
          <w:color w:val="000000"/>
          <w:sz w:val="30"/>
          <w:szCs w:val="30"/>
          <w:lang w:eastAsia="pl-PL"/>
        </w:rPr>
        <w:t>Informacje zwrotne i dane kontaktowe</w:t>
      </w:r>
    </w:p>
    <w:p w14:paraId="4526BC56" w14:textId="337D852F"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W przypadku problemów z dostępnością serwisu BIP prosimy o kontakt. Osobą kontaktową jest </w:t>
      </w:r>
      <w:r w:rsidR="00D36AFF">
        <w:rPr>
          <w:rFonts w:ascii="Arial" w:eastAsia="Times New Roman" w:hAnsi="Arial" w:cs="Arial"/>
          <w:color w:val="000000"/>
          <w:sz w:val="27"/>
          <w:szCs w:val="27"/>
          <w:lang w:eastAsia="pl-PL"/>
        </w:rPr>
        <w:t>Andrzej Piotrowski</w:t>
      </w:r>
      <w:r w:rsidRPr="000D08CA">
        <w:rPr>
          <w:rFonts w:ascii="Arial" w:eastAsia="Times New Roman" w:hAnsi="Arial" w:cs="Arial"/>
          <w:color w:val="000000"/>
          <w:sz w:val="27"/>
          <w:szCs w:val="27"/>
          <w:lang w:eastAsia="pl-PL"/>
        </w:rPr>
        <w:t xml:space="preserve">, </w:t>
      </w:r>
      <w:r w:rsidR="00D36AFF">
        <w:rPr>
          <w:rFonts w:ascii="Arial" w:eastAsia="Times New Roman" w:hAnsi="Arial" w:cs="Arial"/>
          <w:color w:val="000000"/>
          <w:sz w:val="27"/>
          <w:szCs w:val="27"/>
          <w:lang w:eastAsia="pl-PL"/>
        </w:rPr>
        <w:t>gopslubicz@home.pl</w:t>
      </w:r>
      <w:r w:rsidRPr="000D08CA">
        <w:rPr>
          <w:rFonts w:ascii="Arial" w:eastAsia="Times New Roman" w:hAnsi="Arial" w:cs="Arial"/>
          <w:color w:val="000000"/>
          <w:sz w:val="27"/>
          <w:szCs w:val="27"/>
          <w:lang w:eastAsia="pl-PL"/>
        </w:rPr>
        <w:t xml:space="preserve"> Kontaktować można się także dzwoniąc na numer telefonu +48 56</w:t>
      </w:r>
      <w:r w:rsidR="00D36AFF">
        <w:rPr>
          <w:rFonts w:ascii="Arial" w:eastAsia="Times New Roman" w:hAnsi="Arial" w:cs="Arial"/>
          <w:color w:val="000000"/>
          <w:sz w:val="27"/>
          <w:szCs w:val="27"/>
          <w:lang w:eastAsia="pl-PL"/>
        </w:rPr>
        <w:t>6742155</w:t>
      </w:r>
      <w:r w:rsidRPr="000D08CA">
        <w:rPr>
          <w:rFonts w:ascii="Arial" w:eastAsia="Times New Roman" w:hAnsi="Arial" w:cs="Arial"/>
          <w:color w:val="000000"/>
          <w:sz w:val="27"/>
          <w:szCs w:val="27"/>
          <w:lang w:eastAsia="pl-PL"/>
        </w:rPr>
        <w:t>. Tą samą drogą można składać wnioski o udostępnienie informacji niedostępnej oraz składać skargi na brak zapewnienia dostępności.</w:t>
      </w:r>
    </w:p>
    <w:p w14:paraId="7A141930"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w:t>
      </w:r>
      <w:hyperlink r:id="rId6" w:history="1">
        <w:r w:rsidRPr="000D08CA">
          <w:rPr>
            <w:rFonts w:ascii="Arial" w:eastAsia="Times New Roman" w:hAnsi="Arial" w:cs="Arial"/>
            <w:color w:val="9E0005"/>
            <w:sz w:val="27"/>
            <w:szCs w:val="27"/>
            <w:u w:val="single"/>
            <w:lang w:eastAsia="pl-PL"/>
          </w:rPr>
          <w:t>Rzecznika Praw Obywatelskich</w:t>
        </w:r>
      </w:hyperlink>
      <w:r w:rsidRPr="000D08CA">
        <w:rPr>
          <w:rFonts w:ascii="Arial" w:eastAsia="Times New Roman" w:hAnsi="Arial" w:cs="Arial"/>
          <w:color w:val="000000"/>
          <w:sz w:val="27"/>
          <w:szCs w:val="27"/>
          <w:lang w:eastAsia="pl-PL"/>
        </w:rPr>
        <w:t>.</w:t>
      </w:r>
    </w:p>
    <w:p w14:paraId="7017407E" w14:textId="77777777" w:rsidR="000D08CA" w:rsidRPr="000D08CA" w:rsidRDefault="000D08CA" w:rsidP="000D08CA">
      <w:pPr>
        <w:shd w:val="clear" w:color="auto" w:fill="FFFFFF"/>
        <w:spacing w:before="100" w:beforeAutospacing="1" w:after="100" w:afterAutospacing="1" w:line="240" w:lineRule="auto"/>
        <w:outlineLvl w:val="1"/>
        <w:rPr>
          <w:rFonts w:ascii="Arial" w:eastAsia="Times New Roman" w:hAnsi="Arial" w:cs="Arial"/>
          <w:b/>
          <w:bCs/>
          <w:color w:val="000000"/>
          <w:sz w:val="30"/>
          <w:szCs w:val="30"/>
          <w:lang w:eastAsia="pl-PL"/>
        </w:rPr>
      </w:pPr>
      <w:r w:rsidRPr="000D08CA">
        <w:rPr>
          <w:rFonts w:ascii="Arial" w:eastAsia="Times New Roman" w:hAnsi="Arial" w:cs="Arial"/>
          <w:b/>
          <w:bCs/>
          <w:color w:val="000000"/>
          <w:sz w:val="30"/>
          <w:szCs w:val="30"/>
          <w:lang w:eastAsia="pl-PL"/>
        </w:rPr>
        <w:lastRenderedPageBreak/>
        <w:t>Dostępność architektoniczna</w:t>
      </w:r>
    </w:p>
    <w:p w14:paraId="47121DEE"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Wejście do budynku głównego Urzędu Gminy Lubicz jest zlokalizowane od frontu, czyli od ul. Toruńskiej 21 w Lubiczu Dolnym, a dla osób z niepełnosprawnością ruchową – specjalnie przystosowane, z podjazdem, z boku budynku (z prawej strony, patrząc od frontu). W okresie epidemii (koronawirus) wejście zostało przygotowane z tyłu budynku od parkingu (brak schodów). Obsługa interesantów odbywa się zaś na parterze w sali obsługi interesantów, co jest korzystne dla osób z niepełnosprawnością ruchową.</w:t>
      </w:r>
      <w:r w:rsidRPr="000D08CA">
        <w:rPr>
          <w:rFonts w:ascii="Arial" w:eastAsia="Times New Roman" w:hAnsi="Arial" w:cs="Arial"/>
          <w:color w:val="000000"/>
          <w:sz w:val="27"/>
          <w:szCs w:val="27"/>
          <w:lang w:eastAsia="pl-PL"/>
        </w:rPr>
        <w:br/>
        <w:t>Do budynku B (przy ul. Toruńskiej 24 w Lubiczu Dolnym) wejście jest z poziomu parteru (brak schodów). W obu budynkach brak wind.</w:t>
      </w:r>
    </w:p>
    <w:p w14:paraId="1D130C8E"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Budynek główny i budynek B posiadają toalety dostosowane do potrzeb osób niepełnosprawnych (na parterze).</w:t>
      </w:r>
    </w:p>
    <w:p w14:paraId="7ED555EF"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Dla niepełnosprawnych przy obu budynkach zostały też specjalnie wyznaczone miejsca parkingowe – przy głównym na parkingu z tyłu budynku - 2 miejsca, przy budynku B – na parkingu od frontu budynku - 1 miejsce.</w:t>
      </w:r>
    </w:p>
    <w:p w14:paraId="594EB46C" w14:textId="77777777" w:rsidR="000D08CA" w:rsidRPr="000D08CA" w:rsidRDefault="000D08CA" w:rsidP="000D08CA">
      <w:pPr>
        <w:shd w:val="clear" w:color="auto" w:fill="FFFFFF"/>
        <w:spacing w:before="100" w:beforeAutospacing="1" w:after="480" w:line="240" w:lineRule="auto"/>
        <w:rPr>
          <w:rFonts w:ascii="Arial" w:eastAsia="Times New Roman" w:hAnsi="Arial" w:cs="Arial"/>
          <w:color w:val="000000"/>
          <w:sz w:val="27"/>
          <w:szCs w:val="27"/>
          <w:lang w:eastAsia="pl-PL"/>
        </w:rPr>
      </w:pPr>
      <w:r w:rsidRPr="000D08CA">
        <w:rPr>
          <w:rFonts w:ascii="Arial" w:eastAsia="Times New Roman" w:hAnsi="Arial" w:cs="Arial"/>
          <w:color w:val="000000"/>
          <w:sz w:val="27"/>
          <w:szCs w:val="27"/>
          <w:lang w:eastAsia="pl-PL"/>
        </w:rPr>
        <w:t>Do urzędu istnieje możliwość wejścia z psem asystującym. Nie ma możliwości skorzystania z tłumacza migowego.</w:t>
      </w:r>
    </w:p>
    <w:p w14:paraId="7214EB51" w14:textId="77777777" w:rsidR="00E210C1" w:rsidRDefault="00E210C1"/>
    <w:sectPr w:rsidR="00E21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B52F8"/>
    <w:multiLevelType w:val="multilevel"/>
    <w:tmpl w:val="5A36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85295"/>
    <w:multiLevelType w:val="multilevel"/>
    <w:tmpl w:val="A7DC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CA"/>
    <w:rsid w:val="000D08CA"/>
    <w:rsid w:val="005A4B09"/>
    <w:rsid w:val="0078585A"/>
    <w:rsid w:val="008B0915"/>
    <w:rsid w:val="00D36AFF"/>
    <w:rsid w:val="00E2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E6CF"/>
  <w15:chartTrackingRefBased/>
  <w15:docId w15:val="{87C1CE8C-9A99-4EB1-ACB7-9DA42BA8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D08C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08C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D08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D08CA"/>
    <w:rPr>
      <w:color w:val="0000FF"/>
      <w:u w:val="single"/>
    </w:rPr>
  </w:style>
  <w:style w:type="character" w:styleId="Pogrubienie">
    <w:name w:val="Strong"/>
    <w:basedOn w:val="Domylnaczcionkaakapitu"/>
    <w:uiPriority w:val="22"/>
    <w:qFormat/>
    <w:rsid w:val="000D0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po.gov.pl/" TargetMode="External"/><Relationship Id="rId5" Type="http://schemas.openxmlformats.org/officeDocument/2006/relationships/hyperlink" Target="https://www.bip.lubi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698</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Piotrowski</dc:creator>
  <cp:keywords/>
  <dc:description/>
  <cp:lastModifiedBy>Andrzej Piotrowski</cp:lastModifiedBy>
  <cp:revision>3</cp:revision>
  <dcterms:created xsi:type="dcterms:W3CDTF">2021-09-01T07:04:00Z</dcterms:created>
  <dcterms:modified xsi:type="dcterms:W3CDTF">2021-09-23T12:49:00Z</dcterms:modified>
</cp:coreProperties>
</file>